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F7" w:rsidRPr="007721A5" w:rsidRDefault="0071379A" w:rsidP="0071379A">
      <w:pPr>
        <w:jc w:val="center"/>
        <w:rPr>
          <w:b/>
          <w:u w:val="single"/>
        </w:rPr>
      </w:pPr>
      <w:r w:rsidRPr="007721A5">
        <w:rPr>
          <w:b/>
          <w:u w:val="single"/>
        </w:rPr>
        <w:t>REVISED TASK FORCE CRITERIA FOR THE DIAGNOSIS OF ARVC/D¹</w:t>
      </w:r>
    </w:p>
    <w:p w:rsidR="0071379A" w:rsidRPr="00347333" w:rsidRDefault="0071379A" w:rsidP="0071379A">
      <w:pPr>
        <w:rPr>
          <w:sz w:val="20"/>
          <w:szCs w:val="20"/>
        </w:rPr>
      </w:pPr>
      <w:r w:rsidRPr="00347333">
        <w:rPr>
          <w:b/>
          <w:sz w:val="20"/>
          <w:szCs w:val="20"/>
        </w:rPr>
        <w:t>Definite diagnosis</w:t>
      </w:r>
      <w:r w:rsidRPr="00347333">
        <w:rPr>
          <w:sz w:val="20"/>
          <w:szCs w:val="20"/>
        </w:rPr>
        <w:t>:  2 major and 2 minor criteria or 4 minor from different categories</w:t>
      </w:r>
    </w:p>
    <w:p w:rsidR="0071379A" w:rsidRPr="00347333" w:rsidRDefault="0071379A" w:rsidP="0071379A">
      <w:pPr>
        <w:rPr>
          <w:sz w:val="20"/>
          <w:szCs w:val="20"/>
        </w:rPr>
      </w:pPr>
      <w:r w:rsidRPr="00347333">
        <w:rPr>
          <w:b/>
          <w:sz w:val="20"/>
          <w:szCs w:val="20"/>
        </w:rPr>
        <w:t xml:space="preserve">Borderline:  </w:t>
      </w:r>
      <w:r w:rsidRPr="00347333">
        <w:rPr>
          <w:sz w:val="20"/>
          <w:szCs w:val="20"/>
        </w:rPr>
        <w:t>1 major and 1 minor or 3 minor criteria from different categories</w:t>
      </w:r>
    </w:p>
    <w:p w:rsidR="0071379A" w:rsidRPr="00347333" w:rsidRDefault="0071379A" w:rsidP="0071379A">
      <w:pPr>
        <w:rPr>
          <w:sz w:val="20"/>
          <w:szCs w:val="20"/>
        </w:rPr>
      </w:pPr>
      <w:r w:rsidRPr="00347333">
        <w:rPr>
          <w:b/>
          <w:sz w:val="20"/>
          <w:szCs w:val="20"/>
        </w:rPr>
        <w:t>Possible:</w:t>
      </w:r>
      <w:r w:rsidRPr="00347333">
        <w:rPr>
          <w:sz w:val="20"/>
          <w:szCs w:val="20"/>
        </w:rPr>
        <w:t xml:space="preserve">  1 major or 2 minor criteria from different categories</w:t>
      </w:r>
    </w:p>
    <w:p w:rsidR="0071379A" w:rsidRPr="00347333" w:rsidRDefault="0071379A" w:rsidP="0071379A">
      <w:pPr>
        <w:rPr>
          <w:sz w:val="12"/>
          <w:szCs w:val="12"/>
        </w:rPr>
      </w:pPr>
    </w:p>
    <w:p w:rsidR="0071379A" w:rsidRDefault="0071379A" w:rsidP="0071379A">
      <w:pPr>
        <w:rPr>
          <w:b/>
          <w:u w:val="single"/>
        </w:rPr>
      </w:pPr>
      <w:r>
        <w:rPr>
          <w:b/>
          <w:u w:val="single"/>
        </w:rPr>
        <w:t>Acronyms within the following table are explained on the 2</w:t>
      </w:r>
      <w:r w:rsidRPr="0071379A">
        <w:rPr>
          <w:b/>
          <w:u w:val="single"/>
          <w:vertAlign w:val="superscript"/>
        </w:rPr>
        <w:t>nd</w:t>
      </w:r>
      <w:r>
        <w:rPr>
          <w:b/>
          <w:u w:val="single"/>
        </w:rPr>
        <w:t xml:space="preserve"> page of the document</w:t>
      </w:r>
      <w:r w:rsidRPr="0071379A">
        <w:rPr>
          <w:b/>
          <w:u w:val="single"/>
        </w:rPr>
        <w:t>.</w:t>
      </w:r>
    </w:p>
    <w:p w:rsidR="0071379A" w:rsidRPr="00347333" w:rsidRDefault="0071379A" w:rsidP="0071379A">
      <w:pPr>
        <w:rPr>
          <w:b/>
          <w:sz w:val="12"/>
          <w:szCs w:val="12"/>
          <w:u w:val="single"/>
        </w:rPr>
      </w:pPr>
    </w:p>
    <w:p w:rsidR="0071379A" w:rsidRPr="007721A5" w:rsidRDefault="007721A5" w:rsidP="007721A5">
      <w:pPr>
        <w:pStyle w:val="ListParagraph"/>
        <w:numPr>
          <w:ilvl w:val="0"/>
          <w:numId w:val="14"/>
        </w:numPr>
        <w:rPr>
          <w:b/>
          <w:sz w:val="20"/>
          <w:szCs w:val="20"/>
          <w:u w:val="single"/>
        </w:rPr>
      </w:pPr>
      <w:r>
        <w:rPr>
          <w:b/>
          <w:sz w:val="20"/>
          <w:szCs w:val="20"/>
        </w:rPr>
        <w:t xml:space="preserve"> </w:t>
      </w:r>
      <w:r w:rsidR="0071379A" w:rsidRPr="007721A5">
        <w:rPr>
          <w:b/>
          <w:sz w:val="20"/>
          <w:szCs w:val="20"/>
        </w:rPr>
        <w:t>Global and / or Regional Dysfunction and Structural Alterations*</w:t>
      </w:r>
    </w:p>
    <w:tbl>
      <w:tblPr>
        <w:tblStyle w:val="TableGrid"/>
        <w:tblW w:w="0" w:type="auto"/>
        <w:tblInd w:w="720" w:type="dxa"/>
        <w:tblLook w:val="04A0"/>
      </w:tblPr>
      <w:tblGrid>
        <w:gridCol w:w="4445"/>
        <w:gridCol w:w="4411"/>
      </w:tblGrid>
      <w:tr w:rsidR="005E4AF1" w:rsidTr="005E4AF1">
        <w:tc>
          <w:tcPr>
            <w:tcW w:w="4788" w:type="dxa"/>
          </w:tcPr>
          <w:p w:rsidR="005E4AF1" w:rsidRDefault="005E4AF1" w:rsidP="00450713">
            <w:pPr>
              <w:pStyle w:val="ListParagraph"/>
              <w:ind w:left="0"/>
              <w:rPr>
                <w:b/>
              </w:rPr>
            </w:pPr>
            <w:r w:rsidRPr="00347333">
              <w:rPr>
                <w:b/>
                <w:sz w:val="20"/>
                <w:szCs w:val="20"/>
              </w:rPr>
              <w:t>Major (by 2D echo</w:t>
            </w:r>
            <w:r w:rsidRPr="0071379A">
              <w:rPr>
                <w:b/>
              </w:rPr>
              <w:t>)</w:t>
            </w:r>
            <w:r>
              <w:rPr>
                <w:b/>
              </w:rPr>
              <w:tab/>
            </w:r>
          </w:p>
          <w:p w:rsidR="005E4AF1" w:rsidRPr="007721A5" w:rsidRDefault="005E4AF1" w:rsidP="00450713">
            <w:pPr>
              <w:pStyle w:val="ListParagraph"/>
              <w:numPr>
                <w:ilvl w:val="0"/>
                <w:numId w:val="7"/>
              </w:numPr>
              <w:ind w:left="360"/>
              <w:rPr>
                <w:b/>
                <w:sz w:val="18"/>
                <w:szCs w:val="18"/>
              </w:rPr>
            </w:pPr>
            <w:r w:rsidRPr="007721A5">
              <w:rPr>
                <w:sz w:val="18"/>
                <w:szCs w:val="18"/>
              </w:rPr>
              <w:t>Regional RV akinesia, dyskinesia, or aneurysm</w:t>
            </w:r>
          </w:p>
          <w:p w:rsidR="005E4AF1" w:rsidRPr="007721A5" w:rsidRDefault="004A1A56" w:rsidP="00450713">
            <w:pPr>
              <w:pStyle w:val="ListParagraph"/>
              <w:numPr>
                <w:ilvl w:val="0"/>
                <w:numId w:val="7"/>
              </w:numPr>
              <w:ind w:left="360"/>
              <w:rPr>
                <w:b/>
                <w:sz w:val="18"/>
                <w:szCs w:val="18"/>
                <w:u w:val="single"/>
              </w:rPr>
            </w:pPr>
            <w:r w:rsidRPr="007721A5">
              <w:rPr>
                <w:i/>
                <w:sz w:val="18"/>
                <w:szCs w:val="18"/>
              </w:rPr>
              <w:t>and</w:t>
            </w:r>
            <w:r w:rsidRPr="007721A5">
              <w:rPr>
                <w:sz w:val="18"/>
                <w:szCs w:val="18"/>
              </w:rPr>
              <w:t xml:space="preserve"> 1 of the following (end diastole):</w:t>
            </w:r>
          </w:p>
          <w:p w:rsidR="004A1A56" w:rsidRPr="007721A5" w:rsidRDefault="004A1A56" w:rsidP="00450713">
            <w:pPr>
              <w:pStyle w:val="ListParagraph"/>
              <w:ind w:left="360"/>
              <w:rPr>
                <w:i/>
                <w:sz w:val="18"/>
                <w:szCs w:val="18"/>
              </w:rPr>
            </w:pPr>
            <w:r w:rsidRPr="007721A5">
              <w:rPr>
                <w:i/>
                <w:sz w:val="18"/>
                <w:szCs w:val="18"/>
              </w:rPr>
              <w:t>-PLAX RVOT≥32 mm</w:t>
            </w:r>
          </w:p>
          <w:p w:rsidR="004A1A56" w:rsidRPr="007721A5" w:rsidRDefault="004A1A56" w:rsidP="00450713">
            <w:pPr>
              <w:pStyle w:val="ListParagraph"/>
              <w:ind w:left="360"/>
              <w:rPr>
                <w:i/>
                <w:sz w:val="18"/>
                <w:szCs w:val="18"/>
              </w:rPr>
            </w:pPr>
            <w:r w:rsidRPr="007721A5">
              <w:rPr>
                <w:i/>
                <w:sz w:val="18"/>
                <w:szCs w:val="18"/>
              </w:rPr>
              <w:t>(corrected for body size [PLAX/BSA]≥19mm/m²)</w:t>
            </w:r>
          </w:p>
          <w:p w:rsidR="004A1A56" w:rsidRPr="007721A5" w:rsidRDefault="004A1A56" w:rsidP="00450713">
            <w:pPr>
              <w:pStyle w:val="ListParagraph"/>
              <w:ind w:left="360"/>
              <w:rPr>
                <w:i/>
                <w:sz w:val="18"/>
                <w:szCs w:val="18"/>
              </w:rPr>
            </w:pPr>
            <w:r w:rsidRPr="007721A5">
              <w:rPr>
                <w:i/>
                <w:sz w:val="18"/>
                <w:szCs w:val="18"/>
              </w:rPr>
              <w:t>-</w:t>
            </w:r>
            <w:r w:rsidR="00450713" w:rsidRPr="007721A5">
              <w:rPr>
                <w:i/>
                <w:sz w:val="18"/>
                <w:szCs w:val="18"/>
              </w:rPr>
              <w:t>PSAX RVOT≥36mm</w:t>
            </w:r>
          </w:p>
          <w:p w:rsidR="00450713" w:rsidRPr="007721A5" w:rsidRDefault="00450713" w:rsidP="00450713">
            <w:pPr>
              <w:pStyle w:val="ListParagraph"/>
              <w:ind w:left="360"/>
              <w:rPr>
                <w:i/>
                <w:sz w:val="18"/>
                <w:szCs w:val="18"/>
              </w:rPr>
            </w:pPr>
            <w:r w:rsidRPr="007721A5">
              <w:rPr>
                <w:i/>
                <w:sz w:val="18"/>
                <w:szCs w:val="18"/>
              </w:rPr>
              <w:t>(corrected for body size [PSAX/BSA]≥21mm/m²</w:t>
            </w:r>
          </w:p>
          <w:p w:rsidR="00450713" w:rsidRDefault="00450713" w:rsidP="00450713">
            <w:pPr>
              <w:pStyle w:val="ListParagraph"/>
              <w:numPr>
                <w:ilvl w:val="0"/>
                <w:numId w:val="10"/>
              </w:numPr>
              <w:rPr>
                <w:b/>
                <w:u w:val="single"/>
              </w:rPr>
            </w:pPr>
            <w:r w:rsidRPr="007721A5">
              <w:rPr>
                <w:i/>
                <w:sz w:val="18"/>
                <w:szCs w:val="18"/>
              </w:rPr>
              <w:t xml:space="preserve"> or</w:t>
            </w:r>
            <w:r w:rsidRPr="007721A5">
              <w:rPr>
                <w:sz w:val="18"/>
                <w:szCs w:val="18"/>
              </w:rPr>
              <w:t xml:space="preserve"> FAC≤33%</w:t>
            </w:r>
          </w:p>
        </w:tc>
        <w:tc>
          <w:tcPr>
            <w:tcW w:w="4788" w:type="dxa"/>
          </w:tcPr>
          <w:p w:rsidR="005E4AF1" w:rsidRPr="00347333" w:rsidRDefault="005E4AF1" w:rsidP="004A1A56">
            <w:pPr>
              <w:rPr>
                <w:b/>
                <w:sz w:val="20"/>
                <w:szCs w:val="20"/>
              </w:rPr>
            </w:pPr>
            <w:r w:rsidRPr="00347333">
              <w:rPr>
                <w:b/>
                <w:sz w:val="20"/>
                <w:szCs w:val="20"/>
              </w:rPr>
              <w:t>Minor (by 2D echo)</w:t>
            </w:r>
          </w:p>
          <w:p w:rsidR="005E4AF1" w:rsidRPr="007721A5" w:rsidRDefault="005E4AF1" w:rsidP="004A1A56">
            <w:pPr>
              <w:pStyle w:val="ListParagraph"/>
              <w:numPr>
                <w:ilvl w:val="0"/>
                <w:numId w:val="7"/>
              </w:numPr>
              <w:ind w:left="360"/>
              <w:rPr>
                <w:b/>
                <w:sz w:val="18"/>
                <w:szCs w:val="18"/>
                <w:u w:val="single"/>
              </w:rPr>
            </w:pPr>
            <w:r w:rsidRPr="007721A5">
              <w:rPr>
                <w:sz w:val="18"/>
                <w:szCs w:val="18"/>
              </w:rPr>
              <w:t>Regional RV akinesia or dyskinesia</w:t>
            </w:r>
          </w:p>
          <w:p w:rsidR="005E4AF1" w:rsidRPr="007721A5" w:rsidRDefault="005E4AF1" w:rsidP="004A1A56">
            <w:pPr>
              <w:pStyle w:val="ListParagraph"/>
              <w:numPr>
                <w:ilvl w:val="0"/>
                <w:numId w:val="7"/>
              </w:numPr>
              <w:ind w:left="360"/>
              <w:rPr>
                <w:b/>
                <w:sz w:val="18"/>
                <w:szCs w:val="18"/>
                <w:u w:val="single"/>
              </w:rPr>
            </w:pPr>
            <w:r w:rsidRPr="007721A5">
              <w:rPr>
                <w:i/>
                <w:sz w:val="18"/>
                <w:szCs w:val="18"/>
              </w:rPr>
              <w:t xml:space="preserve">and </w:t>
            </w:r>
            <w:r w:rsidRPr="007721A5">
              <w:rPr>
                <w:sz w:val="18"/>
                <w:szCs w:val="18"/>
              </w:rPr>
              <w:t>1 of the following (end diastole):</w:t>
            </w:r>
          </w:p>
          <w:p w:rsidR="005E4AF1" w:rsidRPr="007721A5" w:rsidRDefault="005E4AF1" w:rsidP="004A1A56">
            <w:pPr>
              <w:pStyle w:val="ListParagraph"/>
              <w:numPr>
                <w:ilvl w:val="0"/>
                <w:numId w:val="8"/>
              </w:numPr>
              <w:ind w:left="720"/>
              <w:rPr>
                <w:b/>
                <w:sz w:val="18"/>
                <w:szCs w:val="18"/>
                <w:u w:val="single"/>
              </w:rPr>
            </w:pPr>
            <w:r w:rsidRPr="007721A5">
              <w:rPr>
                <w:i/>
                <w:sz w:val="18"/>
                <w:szCs w:val="18"/>
              </w:rPr>
              <w:t xml:space="preserve"> </w:t>
            </w:r>
            <w:r w:rsidR="004A1A56" w:rsidRPr="007721A5">
              <w:rPr>
                <w:sz w:val="18"/>
                <w:szCs w:val="18"/>
              </w:rPr>
              <w:t>PLAX RVOT≥29 TO &lt;32 mm</w:t>
            </w:r>
          </w:p>
          <w:p w:rsidR="004A1A56" w:rsidRPr="007721A5" w:rsidRDefault="004A1A56" w:rsidP="004A1A56">
            <w:pPr>
              <w:pStyle w:val="ListParagraph"/>
              <w:rPr>
                <w:sz w:val="18"/>
                <w:szCs w:val="18"/>
              </w:rPr>
            </w:pPr>
            <w:r w:rsidRPr="007721A5">
              <w:rPr>
                <w:sz w:val="18"/>
                <w:szCs w:val="18"/>
              </w:rPr>
              <w:t>(corrected for body size[PLAX/BSA] ≥16 to &lt;19mm/m²)</w:t>
            </w:r>
          </w:p>
          <w:p w:rsidR="004A1A56" w:rsidRPr="007721A5" w:rsidRDefault="004A1A56" w:rsidP="004A1A56">
            <w:pPr>
              <w:pStyle w:val="ListParagraph"/>
              <w:numPr>
                <w:ilvl w:val="0"/>
                <w:numId w:val="8"/>
              </w:numPr>
              <w:ind w:left="720"/>
              <w:rPr>
                <w:b/>
                <w:sz w:val="18"/>
                <w:szCs w:val="18"/>
                <w:u w:val="single"/>
              </w:rPr>
            </w:pPr>
            <w:r w:rsidRPr="007721A5">
              <w:rPr>
                <w:sz w:val="18"/>
                <w:szCs w:val="18"/>
              </w:rPr>
              <w:t xml:space="preserve"> PSAX RVOT ≥32 TO &lt;36mm</w:t>
            </w:r>
          </w:p>
          <w:p w:rsidR="004A1A56" w:rsidRPr="007721A5" w:rsidRDefault="004A1A56" w:rsidP="004A1A56">
            <w:pPr>
              <w:pStyle w:val="ListParagraph"/>
              <w:rPr>
                <w:sz w:val="18"/>
                <w:szCs w:val="18"/>
              </w:rPr>
            </w:pPr>
            <w:r w:rsidRPr="007721A5">
              <w:rPr>
                <w:sz w:val="18"/>
                <w:szCs w:val="18"/>
              </w:rPr>
              <w:t>(corrected for body size [PSAX/BSA]≥18 to &lt;21 mm/m²)</w:t>
            </w:r>
          </w:p>
          <w:p w:rsidR="004A1A56" w:rsidRPr="004A1A56" w:rsidRDefault="004A1A56" w:rsidP="004A1A56">
            <w:pPr>
              <w:pStyle w:val="ListParagraph"/>
              <w:numPr>
                <w:ilvl w:val="0"/>
                <w:numId w:val="8"/>
              </w:numPr>
              <w:ind w:left="720"/>
              <w:rPr>
                <w:b/>
                <w:u w:val="single"/>
              </w:rPr>
            </w:pPr>
            <w:r w:rsidRPr="007721A5">
              <w:rPr>
                <w:sz w:val="18"/>
                <w:szCs w:val="18"/>
              </w:rPr>
              <w:t xml:space="preserve"> </w:t>
            </w:r>
            <w:r w:rsidRPr="007721A5">
              <w:rPr>
                <w:i/>
                <w:sz w:val="18"/>
                <w:szCs w:val="18"/>
              </w:rPr>
              <w:t xml:space="preserve">or </w:t>
            </w:r>
            <w:r w:rsidRPr="007721A5">
              <w:rPr>
                <w:sz w:val="18"/>
                <w:szCs w:val="18"/>
              </w:rPr>
              <w:t>FAC&gt;33% to ≤40%</w:t>
            </w:r>
          </w:p>
        </w:tc>
      </w:tr>
      <w:tr w:rsidR="005E4AF1" w:rsidTr="005E4AF1">
        <w:tc>
          <w:tcPr>
            <w:tcW w:w="4788" w:type="dxa"/>
          </w:tcPr>
          <w:p w:rsidR="005E4AF1" w:rsidRPr="00347333" w:rsidRDefault="00450713" w:rsidP="005E4AF1">
            <w:pPr>
              <w:pStyle w:val="ListParagraph"/>
              <w:ind w:left="0"/>
              <w:rPr>
                <w:b/>
                <w:sz w:val="20"/>
                <w:szCs w:val="20"/>
              </w:rPr>
            </w:pPr>
            <w:r w:rsidRPr="00347333">
              <w:rPr>
                <w:b/>
                <w:sz w:val="20"/>
                <w:szCs w:val="20"/>
              </w:rPr>
              <w:t>Major (by MRI)</w:t>
            </w:r>
          </w:p>
          <w:p w:rsidR="00450713" w:rsidRPr="007721A5" w:rsidRDefault="00450713" w:rsidP="00450713">
            <w:pPr>
              <w:pStyle w:val="ListParagraph"/>
              <w:numPr>
                <w:ilvl w:val="0"/>
                <w:numId w:val="10"/>
              </w:numPr>
              <w:ind w:left="360"/>
              <w:rPr>
                <w:b/>
                <w:sz w:val="18"/>
                <w:szCs w:val="18"/>
              </w:rPr>
            </w:pPr>
            <w:r w:rsidRPr="007721A5">
              <w:rPr>
                <w:sz w:val="18"/>
                <w:szCs w:val="18"/>
              </w:rPr>
              <w:t xml:space="preserve">Regional RV akinesia or dyskinesia or dyssynchronous RV contrasction </w:t>
            </w:r>
          </w:p>
          <w:p w:rsidR="00450713" w:rsidRPr="007721A5" w:rsidRDefault="00450713" w:rsidP="00450713">
            <w:pPr>
              <w:pStyle w:val="ListParagraph"/>
              <w:numPr>
                <w:ilvl w:val="0"/>
                <w:numId w:val="10"/>
              </w:numPr>
              <w:ind w:left="360"/>
              <w:rPr>
                <w:b/>
                <w:sz w:val="18"/>
                <w:szCs w:val="18"/>
              </w:rPr>
            </w:pPr>
            <w:r w:rsidRPr="007721A5">
              <w:rPr>
                <w:i/>
                <w:sz w:val="18"/>
                <w:szCs w:val="18"/>
              </w:rPr>
              <w:t xml:space="preserve">And </w:t>
            </w:r>
            <w:r w:rsidRPr="007721A5">
              <w:rPr>
                <w:sz w:val="18"/>
                <w:szCs w:val="18"/>
              </w:rPr>
              <w:t>1 of the following:</w:t>
            </w:r>
          </w:p>
          <w:p w:rsidR="00450713" w:rsidRPr="007721A5" w:rsidRDefault="00450713" w:rsidP="00450713">
            <w:pPr>
              <w:pStyle w:val="ListParagraph"/>
              <w:ind w:left="360"/>
              <w:rPr>
                <w:b/>
                <w:sz w:val="18"/>
                <w:szCs w:val="18"/>
              </w:rPr>
            </w:pPr>
            <w:r w:rsidRPr="007721A5">
              <w:rPr>
                <w:sz w:val="18"/>
                <w:szCs w:val="18"/>
              </w:rPr>
              <w:t>-Ratio of RVEDV to BSA (RVEDV/BSA)≥100 mL/m² (female)</w:t>
            </w:r>
          </w:p>
          <w:p w:rsidR="00450713" w:rsidRPr="00450713" w:rsidRDefault="00450713" w:rsidP="00450713">
            <w:pPr>
              <w:pStyle w:val="ListParagraph"/>
              <w:ind w:left="360"/>
              <w:rPr>
                <w:b/>
              </w:rPr>
            </w:pPr>
            <w:r w:rsidRPr="007721A5">
              <w:rPr>
                <w:i/>
                <w:sz w:val="18"/>
                <w:szCs w:val="18"/>
              </w:rPr>
              <w:t>-Or</w:t>
            </w:r>
            <w:r w:rsidRPr="007721A5">
              <w:rPr>
                <w:sz w:val="18"/>
                <w:szCs w:val="18"/>
              </w:rPr>
              <w:t xml:space="preserve"> RVEF ≤40%</w:t>
            </w:r>
          </w:p>
        </w:tc>
        <w:tc>
          <w:tcPr>
            <w:tcW w:w="4788" w:type="dxa"/>
          </w:tcPr>
          <w:p w:rsidR="005E4AF1" w:rsidRPr="00347333" w:rsidRDefault="00450713" w:rsidP="005E4AF1">
            <w:pPr>
              <w:pStyle w:val="ListParagraph"/>
              <w:ind w:left="0"/>
              <w:rPr>
                <w:b/>
                <w:sz w:val="20"/>
                <w:szCs w:val="20"/>
              </w:rPr>
            </w:pPr>
            <w:r w:rsidRPr="00347333">
              <w:rPr>
                <w:b/>
                <w:sz w:val="20"/>
                <w:szCs w:val="20"/>
              </w:rPr>
              <w:t>Minor (by MRI)</w:t>
            </w:r>
          </w:p>
          <w:p w:rsidR="00450713" w:rsidRPr="00450713" w:rsidRDefault="00450713" w:rsidP="00E353BE">
            <w:pPr>
              <w:pStyle w:val="ListParagraph"/>
              <w:numPr>
                <w:ilvl w:val="0"/>
                <w:numId w:val="11"/>
              </w:numPr>
              <w:ind w:left="360"/>
              <w:rPr>
                <w:b/>
              </w:rPr>
            </w:pPr>
            <w:r>
              <w:rPr>
                <w:sz w:val="18"/>
                <w:szCs w:val="18"/>
              </w:rPr>
              <w:t xml:space="preserve">Regional RV akinesia or dyskinesia or dyssynchronous RV contraction </w:t>
            </w:r>
          </w:p>
          <w:p w:rsidR="00450713" w:rsidRPr="00450713" w:rsidRDefault="00450713" w:rsidP="00E353BE">
            <w:pPr>
              <w:pStyle w:val="ListParagraph"/>
              <w:numPr>
                <w:ilvl w:val="0"/>
                <w:numId w:val="11"/>
              </w:numPr>
              <w:ind w:left="360"/>
              <w:rPr>
                <w:b/>
              </w:rPr>
            </w:pPr>
            <w:r>
              <w:rPr>
                <w:i/>
                <w:sz w:val="18"/>
                <w:szCs w:val="18"/>
              </w:rPr>
              <w:t xml:space="preserve">and </w:t>
            </w:r>
            <w:r>
              <w:rPr>
                <w:sz w:val="18"/>
                <w:szCs w:val="18"/>
              </w:rPr>
              <w:t xml:space="preserve"> 1 of the following:</w:t>
            </w:r>
          </w:p>
          <w:p w:rsidR="00450713" w:rsidRDefault="00450713" w:rsidP="00E353BE">
            <w:pPr>
              <w:pStyle w:val="ListParagraph"/>
              <w:ind w:left="360"/>
              <w:rPr>
                <w:i/>
                <w:sz w:val="18"/>
                <w:szCs w:val="18"/>
              </w:rPr>
            </w:pPr>
            <w:r>
              <w:rPr>
                <w:i/>
                <w:sz w:val="18"/>
                <w:szCs w:val="18"/>
              </w:rPr>
              <w:t>-Ratio of RVEDV to BSA (RVEDV/BSA)≥100 to &lt;110mL/m²</w:t>
            </w:r>
            <w:r w:rsidR="00E353BE">
              <w:rPr>
                <w:i/>
                <w:sz w:val="18"/>
                <w:szCs w:val="18"/>
              </w:rPr>
              <w:t xml:space="preserve"> (male) or ≥90 to &lt;100mL/m² (female)</w:t>
            </w:r>
          </w:p>
          <w:p w:rsidR="00E353BE" w:rsidRPr="00E353BE" w:rsidRDefault="00E353BE" w:rsidP="00E353BE">
            <w:pPr>
              <w:pStyle w:val="ListParagraph"/>
              <w:ind w:left="360"/>
              <w:rPr>
                <w:b/>
              </w:rPr>
            </w:pPr>
            <w:r>
              <w:rPr>
                <w:i/>
                <w:sz w:val="18"/>
                <w:szCs w:val="18"/>
              </w:rPr>
              <w:t xml:space="preserve">- or </w:t>
            </w:r>
            <w:r>
              <w:rPr>
                <w:sz w:val="18"/>
                <w:szCs w:val="18"/>
              </w:rPr>
              <w:t xml:space="preserve"> RVEF &gt;40% to ≤ 45%</w:t>
            </w:r>
          </w:p>
        </w:tc>
      </w:tr>
      <w:tr w:rsidR="005E4AF1" w:rsidTr="005E4AF1">
        <w:tc>
          <w:tcPr>
            <w:tcW w:w="4788" w:type="dxa"/>
          </w:tcPr>
          <w:p w:rsidR="005E4AF1" w:rsidRPr="00347333" w:rsidRDefault="00E353BE" w:rsidP="005E4AF1">
            <w:pPr>
              <w:pStyle w:val="ListParagraph"/>
              <w:ind w:left="0"/>
              <w:rPr>
                <w:b/>
                <w:sz w:val="20"/>
                <w:szCs w:val="20"/>
              </w:rPr>
            </w:pPr>
            <w:r w:rsidRPr="00347333">
              <w:rPr>
                <w:b/>
                <w:sz w:val="20"/>
                <w:szCs w:val="20"/>
              </w:rPr>
              <w:t>Major (by RV angiography)</w:t>
            </w:r>
          </w:p>
          <w:p w:rsidR="00E353BE" w:rsidRPr="00E353BE" w:rsidRDefault="00E353BE" w:rsidP="00E353BE">
            <w:pPr>
              <w:pStyle w:val="ListParagraph"/>
              <w:numPr>
                <w:ilvl w:val="0"/>
                <w:numId w:val="12"/>
              </w:numPr>
              <w:rPr>
                <w:b/>
                <w:sz w:val="18"/>
                <w:szCs w:val="18"/>
              </w:rPr>
            </w:pPr>
            <w:r w:rsidRPr="00E353BE">
              <w:rPr>
                <w:sz w:val="18"/>
                <w:szCs w:val="18"/>
              </w:rPr>
              <w:t>Regional RV akinesia, dyskinesia or aneurysm</w:t>
            </w:r>
          </w:p>
        </w:tc>
        <w:tc>
          <w:tcPr>
            <w:tcW w:w="4788" w:type="dxa"/>
          </w:tcPr>
          <w:p w:rsidR="005E4AF1" w:rsidRDefault="005E4AF1" w:rsidP="005E4AF1">
            <w:pPr>
              <w:pStyle w:val="ListParagraph"/>
              <w:ind w:left="0"/>
              <w:rPr>
                <w:b/>
                <w:u w:val="single"/>
              </w:rPr>
            </w:pPr>
          </w:p>
        </w:tc>
      </w:tr>
    </w:tbl>
    <w:p w:rsidR="005E4AF1" w:rsidRPr="007721A5" w:rsidRDefault="00E353BE" w:rsidP="00E353BE">
      <w:pPr>
        <w:rPr>
          <w:b/>
          <w:sz w:val="20"/>
          <w:szCs w:val="20"/>
        </w:rPr>
      </w:pPr>
      <w:r w:rsidRPr="007721A5">
        <w:rPr>
          <w:b/>
          <w:sz w:val="20"/>
          <w:szCs w:val="20"/>
        </w:rPr>
        <w:t>II.  Tissue Characterization of Wall</w:t>
      </w:r>
    </w:p>
    <w:tbl>
      <w:tblPr>
        <w:tblStyle w:val="TableGrid"/>
        <w:tblW w:w="0" w:type="auto"/>
        <w:tblInd w:w="738" w:type="dxa"/>
        <w:tblLook w:val="04A0"/>
      </w:tblPr>
      <w:tblGrid>
        <w:gridCol w:w="4050"/>
        <w:gridCol w:w="4788"/>
      </w:tblGrid>
      <w:tr w:rsidR="00E353BE" w:rsidTr="00E353BE">
        <w:tc>
          <w:tcPr>
            <w:tcW w:w="4050" w:type="dxa"/>
          </w:tcPr>
          <w:p w:rsidR="00E353BE" w:rsidRPr="007721A5" w:rsidRDefault="00E353BE" w:rsidP="00E353BE">
            <w:pPr>
              <w:rPr>
                <w:b/>
                <w:sz w:val="20"/>
                <w:szCs w:val="20"/>
              </w:rPr>
            </w:pPr>
            <w:r w:rsidRPr="007721A5">
              <w:rPr>
                <w:b/>
                <w:sz w:val="20"/>
                <w:szCs w:val="20"/>
              </w:rPr>
              <w:t>Major</w:t>
            </w:r>
          </w:p>
          <w:p w:rsidR="00E353BE" w:rsidRPr="00E353BE" w:rsidRDefault="00E353BE" w:rsidP="007721A5">
            <w:pPr>
              <w:pStyle w:val="ListParagraph"/>
              <w:numPr>
                <w:ilvl w:val="0"/>
                <w:numId w:val="12"/>
              </w:numPr>
            </w:pPr>
            <w:r w:rsidRPr="00E353BE">
              <w:rPr>
                <w:sz w:val="18"/>
                <w:szCs w:val="18"/>
              </w:rPr>
              <w:t>Residual myocytes &lt;60% by morphometric analysis, (or &lt;50% if estimated), with fibrous replacement of the RV free wall myocardium in ≥1 sample, with or without fatty replacement of tissue on e</w:t>
            </w:r>
            <w:r w:rsidR="007721A5">
              <w:rPr>
                <w:sz w:val="18"/>
                <w:szCs w:val="18"/>
              </w:rPr>
              <w:t>n</w:t>
            </w:r>
            <w:r w:rsidRPr="00E353BE">
              <w:rPr>
                <w:sz w:val="18"/>
                <w:szCs w:val="18"/>
              </w:rPr>
              <w:t>domyocardial biopsy</w:t>
            </w:r>
          </w:p>
        </w:tc>
        <w:tc>
          <w:tcPr>
            <w:tcW w:w="4788" w:type="dxa"/>
          </w:tcPr>
          <w:p w:rsidR="00E353BE" w:rsidRPr="007721A5" w:rsidRDefault="00E353BE" w:rsidP="00E353BE">
            <w:pPr>
              <w:rPr>
                <w:b/>
                <w:sz w:val="20"/>
                <w:szCs w:val="20"/>
              </w:rPr>
            </w:pPr>
            <w:r w:rsidRPr="007721A5">
              <w:rPr>
                <w:b/>
                <w:sz w:val="20"/>
                <w:szCs w:val="20"/>
              </w:rPr>
              <w:t>Minor</w:t>
            </w:r>
          </w:p>
          <w:p w:rsidR="00E353BE" w:rsidRPr="00E353BE" w:rsidRDefault="00E353BE" w:rsidP="00E353BE">
            <w:pPr>
              <w:pStyle w:val="ListParagraph"/>
              <w:numPr>
                <w:ilvl w:val="0"/>
                <w:numId w:val="12"/>
              </w:numPr>
            </w:pPr>
            <w:r w:rsidRPr="00E353BE">
              <w:rPr>
                <w:sz w:val="18"/>
                <w:szCs w:val="18"/>
              </w:rPr>
              <w:t>Residual myocytes 60% to 75% by morphometric analysis, (or 50%, to 65% if estimated), with fibrous replacement of the RV free wall myocardium in ≥1 sample, with or without fatty replacement of tissue on endomyocardial biopsy</w:t>
            </w:r>
          </w:p>
        </w:tc>
      </w:tr>
    </w:tbl>
    <w:p w:rsidR="00E353BE" w:rsidRPr="007721A5" w:rsidRDefault="00E353BE" w:rsidP="00E353BE">
      <w:pPr>
        <w:rPr>
          <w:b/>
          <w:sz w:val="20"/>
          <w:szCs w:val="20"/>
        </w:rPr>
      </w:pPr>
      <w:r w:rsidRPr="007721A5">
        <w:rPr>
          <w:b/>
          <w:sz w:val="20"/>
          <w:szCs w:val="20"/>
        </w:rPr>
        <w:t>III.  Repolarization Abnormalities</w:t>
      </w:r>
    </w:p>
    <w:tbl>
      <w:tblPr>
        <w:tblStyle w:val="TableGrid"/>
        <w:tblW w:w="0" w:type="auto"/>
        <w:tblInd w:w="738" w:type="dxa"/>
        <w:tblLook w:val="04A0"/>
      </w:tblPr>
      <w:tblGrid>
        <w:gridCol w:w="4050"/>
        <w:gridCol w:w="4788"/>
      </w:tblGrid>
      <w:tr w:rsidR="00E353BE" w:rsidTr="00347333">
        <w:tc>
          <w:tcPr>
            <w:tcW w:w="4050" w:type="dxa"/>
          </w:tcPr>
          <w:p w:rsidR="00E353BE" w:rsidRPr="007721A5" w:rsidRDefault="00E353BE" w:rsidP="00E353BE">
            <w:pPr>
              <w:rPr>
                <w:b/>
                <w:sz w:val="20"/>
                <w:szCs w:val="20"/>
              </w:rPr>
            </w:pPr>
            <w:r w:rsidRPr="007721A5">
              <w:rPr>
                <w:b/>
                <w:sz w:val="20"/>
                <w:szCs w:val="20"/>
              </w:rPr>
              <w:t>Major</w:t>
            </w:r>
          </w:p>
          <w:p w:rsidR="00E353BE" w:rsidRPr="00FC2C0A" w:rsidRDefault="00FC2C0A" w:rsidP="00E353BE">
            <w:pPr>
              <w:pStyle w:val="ListParagraph"/>
              <w:numPr>
                <w:ilvl w:val="0"/>
                <w:numId w:val="12"/>
              </w:numPr>
            </w:pPr>
            <w:r w:rsidRPr="00FC2C0A">
              <w:rPr>
                <w:sz w:val="18"/>
                <w:szCs w:val="18"/>
              </w:rPr>
              <w:t>Inverted T waves in right precordial leads (V1, V2, and V3) or beyond in individuals &gt;14 years of age (in the absence of complete RBBB QRS ≥120 MS)</w:t>
            </w:r>
          </w:p>
        </w:tc>
        <w:tc>
          <w:tcPr>
            <w:tcW w:w="4788" w:type="dxa"/>
          </w:tcPr>
          <w:p w:rsidR="00E353BE" w:rsidRPr="007721A5" w:rsidRDefault="00FC2C0A" w:rsidP="00E353BE">
            <w:pPr>
              <w:rPr>
                <w:b/>
                <w:sz w:val="20"/>
                <w:szCs w:val="20"/>
              </w:rPr>
            </w:pPr>
            <w:r w:rsidRPr="007721A5">
              <w:rPr>
                <w:b/>
                <w:sz w:val="20"/>
                <w:szCs w:val="20"/>
              </w:rPr>
              <w:t>Minor</w:t>
            </w:r>
          </w:p>
          <w:p w:rsidR="00FC2C0A" w:rsidRDefault="00FC2C0A" w:rsidP="00FC2C0A">
            <w:pPr>
              <w:pStyle w:val="ListParagraph"/>
              <w:numPr>
                <w:ilvl w:val="0"/>
                <w:numId w:val="12"/>
              </w:numPr>
              <w:rPr>
                <w:sz w:val="18"/>
                <w:szCs w:val="18"/>
              </w:rPr>
            </w:pPr>
            <w:r w:rsidRPr="00FC2C0A">
              <w:rPr>
                <w:sz w:val="18"/>
                <w:szCs w:val="18"/>
              </w:rPr>
              <w:t>Inverted T waves in leads V1 and V2 in individuals&gt;14  years of age (in the absence of complete RBBB) or in V4, V5, or V6</w:t>
            </w:r>
          </w:p>
          <w:p w:rsidR="00FC2C0A" w:rsidRDefault="00FC2C0A" w:rsidP="00FC2C0A">
            <w:pPr>
              <w:rPr>
                <w:sz w:val="18"/>
                <w:szCs w:val="18"/>
              </w:rPr>
            </w:pPr>
          </w:p>
          <w:p w:rsidR="00FC2C0A" w:rsidRPr="00FC2C0A" w:rsidRDefault="00FC2C0A" w:rsidP="00FC2C0A">
            <w:pPr>
              <w:pStyle w:val="ListParagraph"/>
              <w:numPr>
                <w:ilvl w:val="0"/>
                <w:numId w:val="12"/>
              </w:numPr>
              <w:rPr>
                <w:sz w:val="18"/>
                <w:szCs w:val="18"/>
              </w:rPr>
            </w:pPr>
            <w:r>
              <w:rPr>
                <w:sz w:val="18"/>
                <w:szCs w:val="18"/>
              </w:rPr>
              <w:t>Inverted T waves in leads V1, V2, V3 and V4 in individuals &gt;14 years of age in the presence of complete RBBB</w:t>
            </w:r>
          </w:p>
        </w:tc>
      </w:tr>
    </w:tbl>
    <w:p w:rsidR="00E353BE" w:rsidRPr="007721A5" w:rsidRDefault="00347333" w:rsidP="00E353BE">
      <w:pPr>
        <w:rPr>
          <w:b/>
          <w:sz w:val="20"/>
          <w:szCs w:val="20"/>
        </w:rPr>
      </w:pPr>
      <w:r w:rsidRPr="007721A5">
        <w:rPr>
          <w:b/>
          <w:sz w:val="20"/>
          <w:szCs w:val="20"/>
        </w:rPr>
        <w:t>IV.  Depolarization/Conduction Abnormalities</w:t>
      </w:r>
    </w:p>
    <w:tbl>
      <w:tblPr>
        <w:tblStyle w:val="TableGrid"/>
        <w:tblW w:w="0" w:type="auto"/>
        <w:tblInd w:w="738" w:type="dxa"/>
        <w:tblLook w:val="04A0"/>
      </w:tblPr>
      <w:tblGrid>
        <w:gridCol w:w="4050"/>
        <w:gridCol w:w="4788"/>
      </w:tblGrid>
      <w:tr w:rsidR="00347333" w:rsidTr="00347333">
        <w:tc>
          <w:tcPr>
            <w:tcW w:w="4050" w:type="dxa"/>
          </w:tcPr>
          <w:p w:rsidR="00347333" w:rsidRPr="007721A5" w:rsidRDefault="00347333" w:rsidP="00E353BE">
            <w:pPr>
              <w:rPr>
                <w:b/>
                <w:sz w:val="20"/>
                <w:szCs w:val="20"/>
              </w:rPr>
            </w:pPr>
            <w:r w:rsidRPr="007721A5">
              <w:rPr>
                <w:b/>
                <w:sz w:val="20"/>
                <w:szCs w:val="20"/>
              </w:rPr>
              <w:t>Major</w:t>
            </w:r>
          </w:p>
          <w:p w:rsidR="00347333" w:rsidRPr="007721A5" w:rsidRDefault="00347333" w:rsidP="00347333">
            <w:pPr>
              <w:pStyle w:val="ListParagraph"/>
              <w:numPr>
                <w:ilvl w:val="0"/>
                <w:numId w:val="13"/>
              </w:numPr>
            </w:pPr>
            <w:r w:rsidRPr="007721A5">
              <w:rPr>
                <w:sz w:val="18"/>
                <w:szCs w:val="18"/>
              </w:rPr>
              <w:t>Epsilon wave (reproducible low-amplitude signals  between end of QRS complex to onset of the T wave) in the right precordial leads (V1 to V3)</w:t>
            </w:r>
          </w:p>
        </w:tc>
        <w:tc>
          <w:tcPr>
            <w:tcW w:w="4788" w:type="dxa"/>
          </w:tcPr>
          <w:p w:rsidR="00347333" w:rsidRPr="007721A5" w:rsidRDefault="00347333" w:rsidP="00E353BE">
            <w:pPr>
              <w:rPr>
                <w:b/>
                <w:sz w:val="20"/>
                <w:szCs w:val="20"/>
              </w:rPr>
            </w:pPr>
            <w:r w:rsidRPr="007721A5">
              <w:rPr>
                <w:b/>
                <w:sz w:val="20"/>
                <w:szCs w:val="20"/>
              </w:rPr>
              <w:t>Minor</w:t>
            </w:r>
          </w:p>
          <w:p w:rsidR="00347333" w:rsidRPr="007721A5" w:rsidRDefault="00347333" w:rsidP="00347333">
            <w:pPr>
              <w:pStyle w:val="ListParagraph"/>
              <w:numPr>
                <w:ilvl w:val="0"/>
                <w:numId w:val="13"/>
              </w:numPr>
              <w:rPr>
                <w:sz w:val="18"/>
                <w:szCs w:val="18"/>
              </w:rPr>
            </w:pPr>
            <w:r w:rsidRPr="007721A5">
              <w:rPr>
                <w:sz w:val="18"/>
                <w:szCs w:val="18"/>
              </w:rPr>
              <w:t>Late potentials by SAECG in ≥1 of 3 parameters in the absence of a QRS duration of ≥110 ms on the standard ECG</w:t>
            </w:r>
          </w:p>
          <w:p w:rsidR="00347333" w:rsidRPr="007721A5" w:rsidRDefault="00347333" w:rsidP="00347333">
            <w:pPr>
              <w:pStyle w:val="ListParagraph"/>
              <w:numPr>
                <w:ilvl w:val="0"/>
                <w:numId w:val="13"/>
              </w:numPr>
              <w:rPr>
                <w:sz w:val="18"/>
                <w:szCs w:val="18"/>
              </w:rPr>
            </w:pPr>
            <w:r w:rsidRPr="007721A5">
              <w:rPr>
                <w:sz w:val="18"/>
                <w:szCs w:val="18"/>
              </w:rPr>
              <w:t>Filtered QRS duration (fQRS)≥114 ms</w:t>
            </w:r>
          </w:p>
          <w:p w:rsidR="00347333" w:rsidRPr="007721A5" w:rsidRDefault="00347333" w:rsidP="00347333">
            <w:pPr>
              <w:pStyle w:val="ListParagraph"/>
              <w:numPr>
                <w:ilvl w:val="0"/>
                <w:numId w:val="13"/>
              </w:numPr>
              <w:rPr>
                <w:sz w:val="18"/>
                <w:szCs w:val="18"/>
              </w:rPr>
            </w:pPr>
            <w:r w:rsidRPr="007721A5">
              <w:rPr>
                <w:sz w:val="18"/>
                <w:szCs w:val="18"/>
              </w:rPr>
              <w:t>Duration of terminal QRS &lt;40µV (low-ampplitude signal duration) ≥38ms</w:t>
            </w:r>
          </w:p>
          <w:p w:rsidR="00347333" w:rsidRPr="007721A5" w:rsidRDefault="00347333" w:rsidP="00347333">
            <w:pPr>
              <w:pStyle w:val="ListParagraph"/>
              <w:numPr>
                <w:ilvl w:val="0"/>
                <w:numId w:val="13"/>
              </w:numPr>
              <w:rPr>
                <w:sz w:val="18"/>
                <w:szCs w:val="18"/>
              </w:rPr>
            </w:pPr>
            <w:r w:rsidRPr="007721A5">
              <w:rPr>
                <w:sz w:val="18"/>
                <w:szCs w:val="18"/>
              </w:rPr>
              <w:t>Root-mean-square voltage of terminal 40 ms ≤20µV</w:t>
            </w:r>
          </w:p>
          <w:p w:rsidR="00347333" w:rsidRPr="00347333" w:rsidRDefault="00347333" w:rsidP="00347333">
            <w:pPr>
              <w:pStyle w:val="ListParagraph"/>
              <w:numPr>
                <w:ilvl w:val="0"/>
                <w:numId w:val="13"/>
              </w:numPr>
              <w:rPr>
                <w:b/>
                <w:sz w:val="18"/>
                <w:szCs w:val="18"/>
              </w:rPr>
            </w:pPr>
            <w:r w:rsidRPr="007721A5">
              <w:rPr>
                <w:sz w:val="18"/>
                <w:szCs w:val="18"/>
              </w:rPr>
              <w:t>Terminal activation duration of QRS ≥55ms measured from the nadir of the S wave to the end of the QRS, including R’, in V1, V2, or V3, in the</w:t>
            </w:r>
            <w:r>
              <w:rPr>
                <w:b/>
                <w:sz w:val="18"/>
                <w:szCs w:val="18"/>
              </w:rPr>
              <w:t xml:space="preserve"> </w:t>
            </w:r>
            <w:r w:rsidRPr="007721A5">
              <w:rPr>
                <w:sz w:val="18"/>
                <w:szCs w:val="18"/>
              </w:rPr>
              <w:t>absence of complete RBBB</w:t>
            </w:r>
          </w:p>
        </w:tc>
      </w:tr>
    </w:tbl>
    <w:p w:rsidR="00347333" w:rsidRDefault="007721A5" w:rsidP="00E353BE">
      <w:pPr>
        <w:rPr>
          <w:b/>
          <w:sz w:val="20"/>
          <w:szCs w:val="20"/>
        </w:rPr>
      </w:pPr>
      <w:r w:rsidRPr="007721A5">
        <w:rPr>
          <w:b/>
          <w:sz w:val="20"/>
          <w:szCs w:val="20"/>
        </w:rPr>
        <w:lastRenderedPageBreak/>
        <w:t>V.</w:t>
      </w:r>
      <w:r w:rsidRPr="007721A5">
        <w:rPr>
          <w:sz w:val="20"/>
          <w:szCs w:val="20"/>
        </w:rPr>
        <w:t xml:space="preserve">  </w:t>
      </w:r>
      <w:r w:rsidRPr="007721A5">
        <w:rPr>
          <w:b/>
          <w:sz w:val="20"/>
          <w:szCs w:val="20"/>
        </w:rPr>
        <w:t>Arrythmias</w:t>
      </w:r>
    </w:p>
    <w:tbl>
      <w:tblPr>
        <w:tblStyle w:val="TableGrid"/>
        <w:tblW w:w="0" w:type="auto"/>
        <w:tblInd w:w="738" w:type="dxa"/>
        <w:tblLook w:val="04A0"/>
      </w:tblPr>
      <w:tblGrid>
        <w:gridCol w:w="4050"/>
        <w:gridCol w:w="4788"/>
      </w:tblGrid>
      <w:tr w:rsidR="007721A5" w:rsidTr="007721A5">
        <w:tc>
          <w:tcPr>
            <w:tcW w:w="4050" w:type="dxa"/>
          </w:tcPr>
          <w:p w:rsidR="007721A5" w:rsidRDefault="007721A5" w:rsidP="00E353BE">
            <w:pPr>
              <w:rPr>
                <w:b/>
                <w:sz w:val="20"/>
                <w:szCs w:val="20"/>
              </w:rPr>
            </w:pPr>
            <w:r>
              <w:rPr>
                <w:b/>
                <w:sz w:val="20"/>
                <w:szCs w:val="20"/>
              </w:rPr>
              <w:t>Major</w:t>
            </w:r>
          </w:p>
          <w:p w:rsidR="007721A5" w:rsidRPr="007721A5" w:rsidRDefault="007721A5" w:rsidP="007721A5">
            <w:pPr>
              <w:pStyle w:val="ListParagraph"/>
              <w:numPr>
                <w:ilvl w:val="0"/>
                <w:numId w:val="15"/>
              </w:numPr>
              <w:rPr>
                <w:sz w:val="18"/>
                <w:szCs w:val="18"/>
              </w:rPr>
            </w:pPr>
            <w:r w:rsidRPr="007721A5">
              <w:rPr>
                <w:sz w:val="18"/>
                <w:szCs w:val="18"/>
              </w:rPr>
              <w:t>Nonsustained or sustained VT of LBBB** morphology with superior axis (negative or indeterminate QRS in leads II, III, aVF and positive in lead aVL)</w:t>
            </w:r>
          </w:p>
        </w:tc>
        <w:tc>
          <w:tcPr>
            <w:tcW w:w="4788" w:type="dxa"/>
          </w:tcPr>
          <w:p w:rsidR="007721A5" w:rsidRDefault="007721A5" w:rsidP="00E353BE">
            <w:pPr>
              <w:rPr>
                <w:b/>
                <w:sz w:val="20"/>
                <w:szCs w:val="20"/>
              </w:rPr>
            </w:pPr>
            <w:r>
              <w:rPr>
                <w:b/>
                <w:sz w:val="20"/>
                <w:szCs w:val="20"/>
              </w:rPr>
              <w:t>Minor</w:t>
            </w:r>
          </w:p>
          <w:p w:rsidR="007721A5" w:rsidRDefault="007721A5" w:rsidP="007721A5">
            <w:pPr>
              <w:pStyle w:val="ListParagraph"/>
              <w:numPr>
                <w:ilvl w:val="0"/>
                <w:numId w:val="15"/>
              </w:numPr>
              <w:rPr>
                <w:sz w:val="18"/>
                <w:szCs w:val="18"/>
              </w:rPr>
            </w:pPr>
            <w:r>
              <w:rPr>
                <w:sz w:val="18"/>
                <w:szCs w:val="18"/>
              </w:rPr>
              <w:t>Nonsustained or sustained VT or RV outflow configuration, LBBB morphology with inferior axis (positive QRS in leads II, III, and a VF and negative in lead aVL) or of unknown axis</w:t>
            </w:r>
          </w:p>
          <w:p w:rsidR="007721A5" w:rsidRPr="007721A5" w:rsidRDefault="007721A5" w:rsidP="007721A5">
            <w:pPr>
              <w:pStyle w:val="ListParagraph"/>
              <w:numPr>
                <w:ilvl w:val="0"/>
                <w:numId w:val="15"/>
              </w:numPr>
              <w:rPr>
                <w:sz w:val="18"/>
                <w:szCs w:val="18"/>
              </w:rPr>
            </w:pPr>
            <w:r>
              <w:rPr>
                <w:sz w:val="18"/>
                <w:szCs w:val="18"/>
              </w:rPr>
              <w:t>&gt;500 ventricular extrasystoles per 24 hours (Holter)</w:t>
            </w:r>
          </w:p>
        </w:tc>
      </w:tr>
    </w:tbl>
    <w:p w:rsidR="007721A5" w:rsidRDefault="007721A5" w:rsidP="00E353BE">
      <w:pPr>
        <w:rPr>
          <w:sz w:val="20"/>
          <w:szCs w:val="20"/>
        </w:rPr>
      </w:pPr>
    </w:p>
    <w:p w:rsidR="007721A5" w:rsidRDefault="007721A5" w:rsidP="00E353BE">
      <w:pPr>
        <w:rPr>
          <w:b/>
          <w:sz w:val="20"/>
          <w:szCs w:val="20"/>
        </w:rPr>
      </w:pPr>
      <w:r>
        <w:rPr>
          <w:b/>
          <w:sz w:val="20"/>
          <w:szCs w:val="20"/>
        </w:rPr>
        <w:t>VI.  Family History</w:t>
      </w:r>
    </w:p>
    <w:tbl>
      <w:tblPr>
        <w:tblStyle w:val="TableGrid"/>
        <w:tblW w:w="0" w:type="auto"/>
        <w:tblInd w:w="738" w:type="dxa"/>
        <w:tblLook w:val="04A0"/>
      </w:tblPr>
      <w:tblGrid>
        <w:gridCol w:w="4050"/>
        <w:gridCol w:w="4788"/>
      </w:tblGrid>
      <w:tr w:rsidR="007721A5" w:rsidTr="00CC556E">
        <w:tc>
          <w:tcPr>
            <w:tcW w:w="4050" w:type="dxa"/>
          </w:tcPr>
          <w:p w:rsidR="007721A5" w:rsidRDefault="007721A5" w:rsidP="00E353BE">
            <w:pPr>
              <w:rPr>
                <w:b/>
                <w:sz w:val="20"/>
                <w:szCs w:val="20"/>
              </w:rPr>
            </w:pPr>
            <w:r>
              <w:rPr>
                <w:b/>
                <w:sz w:val="20"/>
                <w:szCs w:val="20"/>
              </w:rPr>
              <w:t>Major</w:t>
            </w:r>
          </w:p>
          <w:p w:rsidR="007721A5" w:rsidRPr="00CC556E" w:rsidRDefault="007721A5" w:rsidP="007721A5">
            <w:pPr>
              <w:pStyle w:val="ListParagraph"/>
              <w:numPr>
                <w:ilvl w:val="0"/>
                <w:numId w:val="16"/>
              </w:numPr>
              <w:rPr>
                <w:sz w:val="18"/>
                <w:szCs w:val="18"/>
              </w:rPr>
            </w:pPr>
            <w:r w:rsidRPr="00CC556E">
              <w:rPr>
                <w:sz w:val="18"/>
                <w:szCs w:val="18"/>
              </w:rPr>
              <w:t>ARVC/D confirmed in a first-degree relative who meets current Task Force criteria</w:t>
            </w:r>
          </w:p>
          <w:p w:rsidR="007721A5" w:rsidRPr="00CC556E" w:rsidRDefault="007721A5" w:rsidP="007721A5">
            <w:pPr>
              <w:pStyle w:val="ListParagraph"/>
              <w:numPr>
                <w:ilvl w:val="0"/>
                <w:numId w:val="16"/>
              </w:numPr>
              <w:rPr>
                <w:sz w:val="18"/>
                <w:szCs w:val="18"/>
              </w:rPr>
            </w:pPr>
            <w:r w:rsidRPr="00CC556E">
              <w:rPr>
                <w:sz w:val="18"/>
                <w:szCs w:val="18"/>
              </w:rPr>
              <w:t>ARVD/D confirmed pathologically at autopsy or surgery in a first-degree relative</w:t>
            </w:r>
          </w:p>
          <w:p w:rsidR="007721A5" w:rsidRPr="007721A5" w:rsidRDefault="007721A5" w:rsidP="007721A5">
            <w:pPr>
              <w:pStyle w:val="ListParagraph"/>
              <w:numPr>
                <w:ilvl w:val="0"/>
                <w:numId w:val="16"/>
              </w:numPr>
              <w:rPr>
                <w:b/>
                <w:sz w:val="20"/>
                <w:szCs w:val="20"/>
              </w:rPr>
            </w:pPr>
            <w:r w:rsidRPr="00CC556E">
              <w:rPr>
                <w:sz w:val="18"/>
                <w:szCs w:val="18"/>
              </w:rPr>
              <w:t xml:space="preserve">Identification of a pathogenic mutation†categorized as associated or probably associated with ARVC/D in the patient </w:t>
            </w:r>
            <w:r w:rsidR="00CC556E" w:rsidRPr="00CC556E">
              <w:rPr>
                <w:sz w:val="18"/>
                <w:szCs w:val="18"/>
              </w:rPr>
              <w:t>under evaluation</w:t>
            </w:r>
          </w:p>
        </w:tc>
        <w:tc>
          <w:tcPr>
            <w:tcW w:w="4788" w:type="dxa"/>
          </w:tcPr>
          <w:p w:rsidR="007721A5" w:rsidRDefault="00CC556E" w:rsidP="00E353BE">
            <w:pPr>
              <w:rPr>
                <w:b/>
                <w:sz w:val="20"/>
                <w:szCs w:val="20"/>
              </w:rPr>
            </w:pPr>
            <w:r>
              <w:rPr>
                <w:b/>
                <w:sz w:val="20"/>
                <w:szCs w:val="20"/>
              </w:rPr>
              <w:t>Minor</w:t>
            </w:r>
          </w:p>
          <w:p w:rsidR="00CC556E" w:rsidRPr="00CC556E" w:rsidRDefault="00CC556E" w:rsidP="00CC556E">
            <w:pPr>
              <w:pStyle w:val="ListParagraph"/>
              <w:numPr>
                <w:ilvl w:val="0"/>
                <w:numId w:val="17"/>
              </w:numPr>
              <w:rPr>
                <w:sz w:val="18"/>
                <w:szCs w:val="18"/>
              </w:rPr>
            </w:pPr>
            <w:r w:rsidRPr="00CC556E">
              <w:rPr>
                <w:sz w:val="18"/>
                <w:szCs w:val="18"/>
              </w:rPr>
              <w:t>History of ARVC/D in a first-degree relative in whom it is not possible or practical to determine whether the family member meets current Task Force criteria</w:t>
            </w:r>
          </w:p>
          <w:p w:rsidR="00CC556E" w:rsidRPr="00CC556E" w:rsidRDefault="00CC556E" w:rsidP="00CC556E">
            <w:pPr>
              <w:pStyle w:val="ListParagraph"/>
              <w:numPr>
                <w:ilvl w:val="0"/>
                <w:numId w:val="17"/>
              </w:numPr>
              <w:rPr>
                <w:sz w:val="18"/>
                <w:szCs w:val="18"/>
              </w:rPr>
            </w:pPr>
            <w:r w:rsidRPr="00CC556E">
              <w:rPr>
                <w:sz w:val="18"/>
                <w:szCs w:val="18"/>
              </w:rPr>
              <w:t>Premature sudden death (&lt;35 years of age) due to suspected ARVC/D in a first-degree relative</w:t>
            </w:r>
          </w:p>
          <w:p w:rsidR="00CC556E" w:rsidRPr="00CC556E" w:rsidRDefault="00CC556E" w:rsidP="00CC556E">
            <w:pPr>
              <w:pStyle w:val="ListParagraph"/>
              <w:numPr>
                <w:ilvl w:val="0"/>
                <w:numId w:val="17"/>
              </w:numPr>
              <w:rPr>
                <w:b/>
                <w:sz w:val="20"/>
                <w:szCs w:val="20"/>
              </w:rPr>
            </w:pPr>
            <w:r w:rsidRPr="00CC556E">
              <w:rPr>
                <w:sz w:val="18"/>
                <w:szCs w:val="18"/>
              </w:rPr>
              <w:t>ARVD/D confirmed pathologically or by current Task Force Criteria in second-degree relative</w:t>
            </w:r>
          </w:p>
        </w:tc>
      </w:tr>
    </w:tbl>
    <w:p w:rsidR="007721A5" w:rsidRPr="00F17F88" w:rsidRDefault="00CC556E" w:rsidP="00F17F88">
      <w:pPr>
        <w:rPr>
          <w:sz w:val="20"/>
          <w:szCs w:val="20"/>
        </w:rPr>
      </w:pPr>
      <w:r w:rsidRPr="00F17F88">
        <w:rPr>
          <w:sz w:val="20"/>
          <w:szCs w:val="20"/>
        </w:rPr>
        <w:t>*Hypokinesis is not included in this or subsequent definitions of RV regional wall motion abnormalities for the proposed modified criteria.</w:t>
      </w:r>
    </w:p>
    <w:p w:rsidR="00CC556E" w:rsidRPr="00F17F88" w:rsidRDefault="00CC556E" w:rsidP="00F17F88">
      <w:pPr>
        <w:rPr>
          <w:sz w:val="20"/>
          <w:szCs w:val="20"/>
        </w:rPr>
      </w:pPr>
      <w:r w:rsidRPr="00F17F88">
        <w:rPr>
          <w:sz w:val="20"/>
          <w:szCs w:val="20"/>
        </w:rPr>
        <w:t>†A pathogenic mutation is a DNA alteration associated with ARVC/D that alters or is expected to alter the encoded protein, is unobserved or rare in a large non-ARVC/D control population, and either alters or is predicted to alter the structure of function of the protein or has demonstrated linkage to the disease phenotype in a conclusive pedigree</w:t>
      </w:r>
    </w:p>
    <w:p w:rsidR="00CC556E" w:rsidRPr="00F17F88" w:rsidRDefault="00CC556E" w:rsidP="00F17F88">
      <w:pPr>
        <w:rPr>
          <w:sz w:val="20"/>
          <w:szCs w:val="20"/>
        </w:rPr>
      </w:pPr>
      <w:r w:rsidRPr="00F17F88">
        <w:rPr>
          <w:sz w:val="20"/>
          <w:szCs w:val="20"/>
        </w:rPr>
        <w:t>**The orginal document says “left bundle-branch” or LBB.  Dr. Frank Marcus has confirmed this should read “left bundle-branch block” or LBBB.</w:t>
      </w:r>
    </w:p>
    <w:p w:rsidR="00CC556E" w:rsidRPr="00F17F88" w:rsidRDefault="00CC556E" w:rsidP="00CC556E">
      <w:pPr>
        <w:rPr>
          <w:b/>
          <w:sz w:val="16"/>
          <w:szCs w:val="16"/>
        </w:rPr>
      </w:pPr>
    </w:p>
    <w:p w:rsidR="00CC556E" w:rsidRDefault="00CC556E" w:rsidP="00CC556E">
      <w:pPr>
        <w:rPr>
          <w:b/>
          <w:sz w:val="20"/>
          <w:szCs w:val="20"/>
        </w:rPr>
      </w:pPr>
      <w:r>
        <w:rPr>
          <w:b/>
          <w:sz w:val="20"/>
          <w:szCs w:val="20"/>
        </w:rPr>
        <w:t>Acronyms:</w:t>
      </w:r>
    </w:p>
    <w:tbl>
      <w:tblPr>
        <w:tblStyle w:val="LightShading"/>
        <w:tblW w:w="0" w:type="auto"/>
        <w:tblInd w:w="-432" w:type="dxa"/>
        <w:tblLook w:val="04A0"/>
      </w:tblPr>
      <w:tblGrid>
        <w:gridCol w:w="3624"/>
        <w:gridCol w:w="3192"/>
        <w:gridCol w:w="3192"/>
      </w:tblGrid>
      <w:tr w:rsidR="00CC556E" w:rsidTr="00517425">
        <w:trPr>
          <w:cnfStyle w:val="100000000000"/>
        </w:trPr>
        <w:tc>
          <w:tcPr>
            <w:cnfStyle w:val="001000000000"/>
            <w:tcW w:w="3624" w:type="dxa"/>
          </w:tcPr>
          <w:p w:rsidR="00CC556E" w:rsidRPr="00517425" w:rsidRDefault="00CC556E" w:rsidP="00CC556E">
            <w:pPr>
              <w:rPr>
                <w:b w:val="0"/>
                <w:sz w:val="18"/>
                <w:szCs w:val="18"/>
              </w:rPr>
            </w:pPr>
            <w:r w:rsidRPr="00517425">
              <w:rPr>
                <w:b w:val="0"/>
                <w:sz w:val="18"/>
                <w:szCs w:val="18"/>
              </w:rPr>
              <w:t>aVF:  augmented voltage unipolar left foot lead</w:t>
            </w:r>
          </w:p>
          <w:p w:rsidR="00CC556E" w:rsidRPr="00517425" w:rsidRDefault="00CC556E" w:rsidP="00CC556E">
            <w:pPr>
              <w:rPr>
                <w:b w:val="0"/>
                <w:sz w:val="18"/>
                <w:szCs w:val="18"/>
              </w:rPr>
            </w:pPr>
            <w:r w:rsidRPr="00517425">
              <w:rPr>
                <w:b w:val="0"/>
                <w:sz w:val="18"/>
                <w:szCs w:val="18"/>
              </w:rPr>
              <w:t>aVL:  augmented voltage unipolar left arm lead</w:t>
            </w:r>
          </w:p>
          <w:p w:rsidR="00517425" w:rsidRPr="00517425" w:rsidRDefault="00517425" w:rsidP="00CC556E">
            <w:pPr>
              <w:rPr>
                <w:b w:val="0"/>
                <w:sz w:val="18"/>
                <w:szCs w:val="18"/>
              </w:rPr>
            </w:pPr>
            <w:r w:rsidRPr="00517425">
              <w:rPr>
                <w:b w:val="0"/>
                <w:sz w:val="18"/>
                <w:szCs w:val="18"/>
              </w:rPr>
              <w:t>BSA:  body surface area</w:t>
            </w:r>
          </w:p>
          <w:p w:rsidR="00517425" w:rsidRPr="00517425" w:rsidRDefault="00517425" w:rsidP="00CC556E">
            <w:pPr>
              <w:rPr>
                <w:b w:val="0"/>
                <w:sz w:val="18"/>
                <w:szCs w:val="18"/>
              </w:rPr>
            </w:pPr>
            <w:r w:rsidRPr="00517425">
              <w:rPr>
                <w:b w:val="0"/>
                <w:sz w:val="18"/>
                <w:szCs w:val="18"/>
              </w:rPr>
              <w:t>ECG:  electrocardiogram</w:t>
            </w:r>
          </w:p>
          <w:p w:rsidR="00517425" w:rsidRDefault="00517425" w:rsidP="00CC556E">
            <w:pPr>
              <w:rPr>
                <w:b w:val="0"/>
                <w:sz w:val="20"/>
                <w:szCs w:val="20"/>
              </w:rPr>
            </w:pPr>
            <w:r w:rsidRPr="00517425">
              <w:rPr>
                <w:b w:val="0"/>
                <w:sz w:val="18"/>
                <w:szCs w:val="18"/>
              </w:rPr>
              <w:t>FAC:  fractional area change</w:t>
            </w:r>
          </w:p>
        </w:tc>
        <w:tc>
          <w:tcPr>
            <w:tcW w:w="3192" w:type="dxa"/>
          </w:tcPr>
          <w:p w:rsidR="00CC556E" w:rsidRPr="00517425" w:rsidRDefault="00CC556E" w:rsidP="00CC556E">
            <w:pPr>
              <w:cnfStyle w:val="100000000000"/>
              <w:rPr>
                <w:b w:val="0"/>
                <w:sz w:val="18"/>
                <w:szCs w:val="18"/>
              </w:rPr>
            </w:pPr>
            <w:r w:rsidRPr="00517425">
              <w:rPr>
                <w:b w:val="0"/>
                <w:sz w:val="18"/>
                <w:szCs w:val="18"/>
              </w:rPr>
              <w:t>LBBB:  left bundle-branch block</w:t>
            </w:r>
          </w:p>
          <w:p w:rsidR="00517425" w:rsidRPr="00517425" w:rsidRDefault="00517425" w:rsidP="00CC556E">
            <w:pPr>
              <w:cnfStyle w:val="100000000000"/>
              <w:rPr>
                <w:b w:val="0"/>
                <w:sz w:val="18"/>
                <w:szCs w:val="18"/>
              </w:rPr>
            </w:pPr>
            <w:r w:rsidRPr="00517425">
              <w:rPr>
                <w:b w:val="0"/>
                <w:sz w:val="18"/>
                <w:szCs w:val="18"/>
              </w:rPr>
              <w:t>PLAX:  parasternal long axis view</w:t>
            </w:r>
          </w:p>
          <w:p w:rsidR="00517425" w:rsidRPr="00517425" w:rsidRDefault="00517425" w:rsidP="00CC556E">
            <w:pPr>
              <w:cnfStyle w:val="100000000000"/>
              <w:rPr>
                <w:b w:val="0"/>
                <w:sz w:val="18"/>
                <w:szCs w:val="18"/>
              </w:rPr>
            </w:pPr>
            <w:r w:rsidRPr="00517425">
              <w:rPr>
                <w:b w:val="0"/>
                <w:sz w:val="18"/>
                <w:szCs w:val="18"/>
              </w:rPr>
              <w:t>PSAX:  parasternal short axis view</w:t>
            </w:r>
          </w:p>
          <w:p w:rsidR="00517425" w:rsidRPr="00517425" w:rsidRDefault="00517425" w:rsidP="00CC556E">
            <w:pPr>
              <w:cnfStyle w:val="100000000000"/>
              <w:rPr>
                <w:b w:val="0"/>
                <w:sz w:val="18"/>
                <w:szCs w:val="18"/>
              </w:rPr>
            </w:pPr>
            <w:r w:rsidRPr="00517425">
              <w:rPr>
                <w:b w:val="0"/>
                <w:sz w:val="18"/>
                <w:szCs w:val="18"/>
              </w:rPr>
              <w:t>RBBB:  right bundle-branch block</w:t>
            </w:r>
          </w:p>
          <w:p w:rsidR="00517425" w:rsidRPr="00517425" w:rsidRDefault="00517425" w:rsidP="00CC556E">
            <w:pPr>
              <w:cnfStyle w:val="100000000000"/>
              <w:rPr>
                <w:b w:val="0"/>
                <w:sz w:val="18"/>
                <w:szCs w:val="18"/>
              </w:rPr>
            </w:pPr>
            <w:r w:rsidRPr="00517425">
              <w:rPr>
                <w:b w:val="0"/>
                <w:sz w:val="18"/>
                <w:szCs w:val="18"/>
              </w:rPr>
              <w:t>RV:  right ventricular</w:t>
            </w:r>
          </w:p>
        </w:tc>
        <w:tc>
          <w:tcPr>
            <w:tcW w:w="3192" w:type="dxa"/>
          </w:tcPr>
          <w:p w:rsidR="00CC556E" w:rsidRPr="00517425" w:rsidRDefault="00CC556E" w:rsidP="00CC556E">
            <w:pPr>
              <w:cnfStyle w:val="100000000000"/>
              <w:rPr>
                <w:b w:val="0"/>
                <w:sz w:val="18"/>
                <w:szCs w:val="18"/>
              </w:rPr>
            </w:pPr>
            <w:r w:rsidRPr="00517425">
              <w:rPr>
                <w:b w:val="0"/>
                <w:sz w:val="18"/>
                <w:szCs w:val="18"/>
              </w:rPr>
              <w:t>RVEDV: right ventricular end diastolic volume</w:t>
            </w:r>
          </w:p>
          <w:p w:rsidR="00517425" w:rsidRPr="00517425" w:rsidRDefault="00517425" w:rsidP="00CC556E">
            <w:pPr>
              <w:cnfStyle w:val="100000000000"/>
              <w:rPr>
                <w:b w:val="0"/>
                <w:sz w:val="18"/>
                <w:szCs w:val="18"/>
              </w:rPr>
            </w:pPr>
            <w:r w:rsidRPr="00517425">
              <w:rPr>
                <w:b w:val="0"/>
                <w:sz w:val="18"/>
                <w:szCs w:val="18"/>
              </w:rPr>
              <w:t>RVEF:  right ventricular ejection fraction</w:t>
            </w:r>
          </w:p>
          <w:p w:rsidR="00517425" w:rsidRPr="00517425" w:rsidRDefault="00517425" w:rsidP="00CC556E">
            <w:pPr>
              <w:cnfStyle w:val="100000000000"/>
              <w:rPr>
                <w:b w:val="0"/>
                <w:sz w:val="18"/>
                <w:szCs w:val="18"/>
              </w:rPr>
            </w:pPr>
            <w:r w:rsidRPr="00517425">
              <w:rPr>
                <w:b w:val="0"/>
                <w:sz w:val="18"/>
                <w:szCs w:val="18"/>
              </w:rPr>
              <w:t>RVOT:  right ventricular outflow tract</w:t>
            </w:r>
          </w:p>
          <w:p w:rsidR="00517425" w:rsidRPr="00517425" w:rsidRDefault="00517425" w:rsidP="00CC556E">
            <w:pPr>
              <w:cnfStyle w:val="100000000000"/>
              <w:rPr>
                <w:b w:val="0"/>
                <w:sz w:val="18"/>
                <w:szCs w:val="18"/>
              </w:rPr>
            </w:pPr>
            <w:r w:rsidRPr="00517425">
              <w:rPr>
                <w:b w:val="0"/>
                <w:sz w:val="18"/>
                <w:szCs w:val="18"/>
              </w:rPr>
              <w:t>SAECG:  signal averaged electrocardiogram</w:t>
            </w:r>
          </w:p>
          <w:p w:rsidR="00CC556E" w:rsidRPr="00517425" w:rsidRDefault="00517425" w:rsidP="00517425">
            <w:pPr>
              <w:cnfStyle w:val="100000000000"/>
              <w:rPr>
                <w:b w:val="0"/>
                <w:sz w:val="18"/>
                <w:szCs w:val="18"/>
              </w:rPr>
            </w:pPr>
            <w:r w:rsidRPr="00517425">
              <w:rPr>
                <w:b w:val="0"/>
                <w:sz w:val="18"/>
                <w:szCs w:val="18"/>
              </w:rPr>
              <w:t>VT:  ventricular tachycardia</w:t>
            </w:r>
          </w:p>
        </w:tc>
      </w:tr>
    </w:tbl>
    <w:p w:rsidR="00CC556E" w:rsidRPr="00F17F88" w:rsidRDefault="00517425" w:rsidP="00CC556E">
      <w:pPr>
        <w:rPr>
          <w:sz w:val="20"/>
          <w:szCs w:val="20"/>
        </w:rPr>
      </w:pPr>
      <w:r w:rsidRPr="00F17F88">
        <w:rPr>
          <w:sz w:val="20"/>
          <w:szCs w:val="20"/>
        </w:rPr>
        <w:t>“Modifications of the orginal criteria have been proposed to facilitate clinical diagnosis in first-degree relatives who often have incomplete expression of the disease.</w:t>
      </w:r>
    </w:p>
    <w:p w:rsidR="00517425" w:rsidRPr="00F17F88" w:rsidRDefault="00517425" w:rsidP="00CC556E">
      <w:pPr>
        <w:rPr>
          <w:sz w:val="12"/>
          <w:szCs w:val="12"/>
        </w:rPr>
      </w:pPr>
    </w:p>
    <w:p w:rsidR="00517425" w:rsidRPr="00F17F88" w:rsidRDefault="00517425" w:rsidP="00CC556E">
      <w:pPr>
        <w:rPr>
          <w:sz w:val="20"/>
          <w:szCs w:val="20"/>
        </w:rPr>
      </w:pPr>
      <w:r w:rsidRPr="00F17F88">
        <w:rPr>
          <w:sz w:val="20"/>
          <w:szCs w:val="20"/>
        </w:rPr>
        <w:t>According to these recommendations, in the context of proven ARVC/D in a first-degree relative, the diagnosis of familial ARVC/D is based on the documentation of one of the following in a family member:</w:t>
      </w:r>
    </w:p>
    <w:p w:rsidR="00517425" w:rsidRPr="00F17F88" w:rsidRDefault="00517425" w:rsidP="00CC556E">
      <w:pPr>
        <w:rPr>
          <w:sz w:val="12"/>
          <w:szCs w:val="12"/>
        </w:rPr>
      </w:pPr>
    </w:p>
    <w:p w:rsidR="00517425" w:rsidRPr="00F17F88" w:rsidRDefault="00517425" w:rsidP="00517425">
      <w:pPr>
        <w:pStyle w:val="ListParagraph"/>
        <w:numPr>
          <w:ilvl w:val="0"/>
          <w:numId w:val="18"/>
        </w:numPr>
        <w:rPr>
          <w:sz w:val="20"/>
          <w:szCs w:val="20"/>
        </w:rPr>
      </w:pPr>
      <w:r w:rsidRPr="00F17F88">
        <w:rPr>
          <w:sz w:val="20"/>
          <w:szCs w:val="20"/>
        </w:rPr>
        <w:t xml:space="preserve"> T-wave</w:t>
      </w:r>
      <w:r w:rsidR="00EF4EEB" w:rsidRPr="00F17F88">
        <w:rPr>
          <w:sz w:val="20"/>
          <w:szCs w:val="20"/>
        </w:rPr>
        <w:t xml:space="preserve"> inversion in right precordial leads V1, V2, and V3 in individuals over the age of 14 years.</w:t>
      </w:r>
    </w:p>
    <w:p w:rsidR="00EF4EEB" w:rsidRPr="00F17F88" w:rsidRDefault="00EF4EEB" w:rsidP="00517425">
      <w:pPr>
        <w:pStyle w:val="ListParagraph"/>
        <w:numPr>
          <w:ilvl w:val="0"/>
          <w:numId w:val="18"/>
        </w:numPr>
        <w:rPr>
          <w:sz w:val="20"/>
          <w:szCs w:val="20"/>
        </w:rPr>
      </w:pPr>
      <w:r w:rsidRPr="00F17F88">
        <w:rPr>
          <w:sz w:val="20"/>
          <w:szCs w:val="20"/>
        </w:rPr>
        <w:t>Late potentials by signal –averaged ECG (SAECG).</w:t>
      </w:r>
    </w:p>
    <w:p w:rsidR="00EF4EEB" w:rsidRPr="00F17F88" w:rsidRDefault="00EF4EEB" w:rsidP="00517425">
      <w:pPr>
        <w:pStyle w:val="ListParagraph"/>
        <w:numPr>
          <w:ilvl w:val="0"/>
          <w:numId w:val="18"/>
        </w:numPr>
        <w:rPr>
          <w:sz w:val="20"/>
          <w:szCs w:val="20"/>
        </w:rPr>
      </w:pPr>
      <w:r w:rsidRPr="00F17F88">
        <w:rPr>
          <w:sz w:val="20"/>
          <w:szCs w:val="20"/>
        </w:rPr>
        <w:t>Ventricular tachycardia of left bundle-branch block morphology on ECG, Holter monitor, or during exercise testing or &gt;200 premature venricular contractions in 24 hours.</w:t>
      </w:r>
    </w:p>
    <w:p w:rsidR="00EF4EEB" w:rsidRPr="00F17F88" w:rsidRDefault="00EF4EEB" w:rsidP="00517425">
      <w:pPr>
        <w:pStyle w:val="ListParagraph"/>
        <w:numPr>
          <w:ilvl w:val="0"/>
          <w:numId w:val="18"/>
        </w:numPr>
        <w:rPr>
          <w:sz w:val="20"/>
          <w:szCs w:val="20"/>
        </w:rPr>
      </w:pPr>
      <w:r w:rsidRPr="00F17F88">
        <w:rPr>
          <w:sz w:val="20"/>
          <w:szCs w:val="20"/>
        </w:rPr>
        <w:t>Either mild global dilatation or reduction in RV ejection fraction with normal LV or mild segmental dilatation of the RV or regional TV hypokinesis.”¹</w:t>
      </w:r>
    </w:p>
    <w:p w:rsidR="00EF4EEB" w:rsidRPr="00F17F88" w:rsidRDefault="00EF4EEB" w:rsidP="00EF4EEB">
      <w:pPr>
        <w:rPr>
          <w:sz w:val="12"/>
          <w:szCs w:val="12"/>
        </w:rPr>
      </w:pPr>
    </w:p>
    <w:p w:rsidR="00EF4EEB" w:rsidRPr="00F17F88" w:rsidRDefault="00EF4EEB" w:rsidP="00EF4EEB">
      <w:pPr>
        <w:rPr>
          <w:sz w:val="20"/>
          <w:szCs w:val="20"/>
        </w:rPr>
      </w:pPr>
      <w:r w:rsidRPr="00F17F88">
        <w:rPr>
          <w:sz w:val="20"/>
          <w:szCs w:val="20"/>
        </w:rPr>
        <w:t>¹ Circulation, Apr 2010; 121:  1533 – 1541; “SPECIAL REPORT:  Diagnosis of Arrhythmogenic Right Ventricular Cardiomyopathy/Dy</w:t>
      </w:r>
      <w:r w:rsidR="00CD6BE7" w:rsidRPr="00F17F88">
        <w:rPr>
          <w:sz w:val="20"/>
          <w:szCs w:val="20"/>
        </w:rPr>
        <w:t xml:space="preserve">splasia:  Proposed Modification </w:t>
      </w:r>
      <w:r w:rsidRPr="00F17F88">
        <w:rPr>
          <w:sz w:val="20"/>
          <w:szCs w:val="20"/>
        </w:rPr>
        <w:t>of the Task Force Criteria” (Frank I. Marcus, William J. McKenna, Duane Sherrill, Christina Basso, Barbara Bauce, David A. Bluemke, Hugh Calkins, Domenico Corrado, Moniek G.P.J. Cox, James P. Daubert, Guy Fontaine, Kathleen Gear, Richard Hauer, Andrea Nava, Michael H. Picard, Nikos Pro</w:t>
      </w:r>
      <w:r w:rsidR="00CD6BE7" w:rsidRPr="00F17F88">
        <w:rPr>
          <w:sz w:val="20"/>
          <w:szCs w:val="20"/>
        </w:rPr>
        <w:t>tonotarios, Jefferey E. Saffitz, Danita M. Yoerger Sanborn, Jonathan S. Steinberg, Harikrishna Tandri, Gaetano Thiene, Jeffrey A. Towbin, Adalena Tsatsopoulou, Thomas Wichter, and Wojciech Zareba)</w:t>
      </w:r>
    </w:p>
    <w:sectPr w:rsidR="00EF4EEB" w:rsidRPr="00F17F88" w:rsidSect="00C850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628"/>
    <w:multiLevelType w:val="hybridMultilevel"/>
    <w:tmpl w:val="B4DE1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BB6E77"/>
    <w:multiLevelType w:val="hybridMultilevel"/>
    <w:tmpl w:val="55086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2F79AB"/>
    <w:multiLevelType w:val="hybridMultilevel"/>
    <w:tmpl w:val="B6AE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65B9F"/>
    <w:multiLevelType w:val="hybridMultilevel"/>
    <w:tmpl w:val="38289EAA"/>
    <w:lvl w:ilvl="0" w:tplc="4518087E">
      <w:start w:val="1"/>
      <w:numFmt w:val="bullet"/>
      <w:lvlText w:val="-"/>
      <w:lvlJc w:val="left"/>
      <w:pPr>
        <w:ind w:left="1830" w:hanging="360"/>
      </w:pPr>
      <w:rPr>
        <w:rFonts w:ascii="Calibri" w:eastAsiaTheme="minorHAnsi" w:hAnsi="Calibri" w:cstheme="minorBidi" w:hint="default"/>
        <w:b w:val="0"/>
        <w:i/>
        <w:sz w:val="18"/>
        <w:u w:val="none"/>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4">
    <w:nsid w:val="15A0433F"/>
    <w:multiLevelType w:val="hybridMultilevel"/>
    <w:tmpl w:val="1C82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5172E"/>
    <w:multiLevelType w:val="hybridMultilevel"/>
    <w:tmpl w:val="0048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15DF4"/>
    <w:multiLevelType w:val="hybridMultilevel"/>
    <w:tmpl w:val="E890606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41202"/>
    <w:multiLevelType w:val="hybridMultilevel"/>
    <w:tmpl w:val="4B46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53E70"/>
    <w:multiLevelType w:val="hybridMultilevel"/>
    <w:tmpl w:val="27D0E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3A7E88"/>
    <w:multiLevelType w:val="hybridMultilevel"/>
    <w:tmpl w:val="155CAE92"/>
    <w:lvl w:ilvl="0" w:tplc="04090001">
      <w:start w:val="1"/>
      <w:numFmt w:val="bullet"/>
      <w:lvlText w:val=""/>
      <w:lvlJc w:val="left"/>
      <w:pPr>
        <w:ind w:left="5280" w:hanging="360"/>
      </w:pPr>
      <w:rPr>
        <w:rFonts w:ascii="Symbol" w:hAnsi="Symbol" w:hint="default"/>
      </w:rPr>
    </w:lvl>
    <w:lvl w:ilvl="1" w:tplc="04090003" w:tentative="1">
      <w:start w:val="1"/>
      <w:numFmt w:val="bullet"/>
      <w:lvlText w:val="o"/>
      <w:lvlJc w:val="left"/>
      <w:pPr>
        <w:ind w:left="6000" w:hanging="360"/>
      </w:pPr>
      <w:rPr>
        <w:rFonts w:ascii="Courier New" w:hAnsi="Courier New" w:cs="Courier New" w:hint="default"/>
      </w:rPr>
    </w:lvl>
    <w:lvl w:ilvl="2" w:tplc="04090005" w:tentative="1">
      <w:start w:val="1"/>
      <w:numFmt w:val="bullet"/>
      <w:lvlText w:val=""/>
      <w:lvlJc w:val="left"/>
      <w:pPr>
        <w:ind w:left="6720" w:hanging="360"/>
      </w:pPr>
      <w:rPr>
        <w:rFonts w:ascii="Wingdings" w:hAnsi="Wingdings" w:hint="default"/>
      </w:rPr>
    </w:lvl>
    <w:lvl w:ilvl="3" w:tplc="04090001" w:tentative="1">
      <w:start w:val="1"/>
      <w:numFmt w:val="bullet"/>
      <w:lvlText w:val=""/>
      <w:lvlJc w:val="left"/>
      <w:pPr>
        <w:ind w:left="7440" w:hanging="360"/>
      </w:pPr>
      <w:rPr>
        <w:rFonts w:ascii="Symbol" w:hAnsi="Symbol" w:hint="default"/>
      </w:rPr>
    </w:lvl>
    <w:lvl w:ilvl="4" w:tplc="04090003" w:tentative="1">
      <w:start w:val="1"/>
      <w:numFmt w:val="bullet"/>
      <w:lvlText w:val="o"/>
      <w:lvlJc w:val="left"/>
      <w:pPr>
        <w:ind w:left="8160" w:hanging="360"/>
      </w:pPr>
      <w:rPr>
        <w:rFonts w:ascii="Courier New" w:hAnsi="Courier New" w:cs="Courier New" w:hint="default"/>
      </w:rPr>
    </w:lvl>
    <w:lvl w:ilvl="5" w:tplc="04090005" w:tentative="1">
      <w:start w:val="1"/>
      <w:numFmt w:val="bullet"/>
      <w:lvlText w:val=""/>
      <w:lvlJc w:val="left"/>
      <w:pPr>
        <w:ind w:left="8880" w:hanging="360"/>
      </w:pPr>
      <w:rPr>
        <w:rFonts w:ascii="Wingdings" w:hAnsi="Wingdings" w:hint="default"/>
      </w:rPr>
    </w:lvl>
    <w:lvl w:ilvl="6" w:tplc="04090001" w:tentative="1">
      <w:start w:val="1"/>
      <w:numFmt w:val="bullet"/>
      <w:lvlText w:val=""/>
      <w:lvlJc w:val="left"/>
      <w:pPr>
        <w:ind w:left="9600" w:hanging="360"/>
      </w:pPr>
      <w:rPr>
        <w:rFonts w:ascii="Symbol" w:hAnsi="Symbol" w:hint="default"/>
      </w:rPr>
    </w:lvl>
    <w:lvl w:ilvl="7" w:tplc="04090003" w:tentative="1">
      <w:start w:val="1"/>
      <w:numFmt w:val="bullet"/>
      <w:lvlText w:val="o"/>
      <w:lvlJc w:val="left"/>
      <w:pPr>
        <w:ind w:left="10320" w:hanging="360"/>
      </w:pPr>
      <w:rPr>
        <w:rFonts w:ascii="Courier New" w:hAnsi="Courier New" w:cs="Courier New" w:hint="default"/>
      </w:rPr>
    </w:lvl>
    <w:lvl w:ilvl="8" w:tplc="04090005" w:tentative="1">
      <w:start w:val="1"/>
      <w:numFmt w:val="bullet"/>
      <w:lvlText w:val=""/>
      <w:lvlJc w:val="left"/>
      <w:pPr>
        <w:ind w:left="11040" w:hanging="360"/>
      </w:pPr>
      <w:rPr>
        <w:rFonts w:ascii="Wingdings" w:hAnsi="Wingdings" w:hint="default"/>
      </w:rPr>
    </w:lvl>
  </w:abstractNum>
  <w:abstractNum w:abstractNumId="10">
    <w:nsid w:val="4DB73B6B"/>
    <w:multiLevelType w:val="hybridMultilevel"/>
    <w:tmpl w:val="4F7C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73312"/>
    <w:multiLevelType w:val="hybridMultilevel"/>
    <w:tmpl w:val="4674664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nsid w:val="624E1F9D"/>
    <w:multiLevelType w:val="hybridMultilevel"/>
    <w:tmpl w:val="6ED6AA28"/>
    <w:lvl w:ilvl="0" w:tplc="04090001">
      <w:start w:val="1"/>
      <w:numFmt w:val="bullet"/>
      <w:lvlText w:val=""/>
      <w:lvlJc w:val="left"/>
      <w:pPr>
        <w:ind w:left="720" w:hanging="360"/>
      </w:pPr>
      <w:rPr>
        <w:rFonts w:ascii="Symbol" w:hAnsi="Symbol" w:hint="default"/>
        <w:b w:val="0"/>
        <w:i/>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62E37"/>
    <w:multiLevelType w:val="hybridMultilevel"/>
    <w:tmpl w:val="2944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274CF0"/>
    <w:multiLevelType w:val="hybridMultilevel"/>
    <w:tmpl w:val="6A8E6A8C"/>
    <w:lvl w:ilvl="0" w:tplc="DD56B89A">
      <w:start w:val="1"/>
      <w:numFmt w:val="bullet"/>
      <w:lvlText w:val="-"/>
      <w:lvlJc w:val="left"/>
      <w:pPr>
        <w:ind w:left="1830" w:hanging="360"/>
      </w:pPr>
      <w:rPr>
        <w:rFonts w:ascii="Calibri" w:eastAsiaTheme="minorHAnsi" w:hAnsi="Calibri" w:cstheme="minorBidi" w:hint="default"/>
        <w:b w:val="0"/>
        <w:i/>
        <w:sz w:val="20"/>
        <w:u w:val="none"/>
      </w:rPr>
    </w:lvl>
    <w:lvl w:ilvl="1" w:tplc="04090003">
      <w:start w:val="1"/>
      <w:numFmt w:val="bullet"/>
      <w:lvlText w:val="o"/>
      <w:lvlJc w:val="left"/>
      <w:pPr>
        <w:ind w:left="2550" w:hanging="360"/>
      </w:pPr>
      <w:rPr>
        <w:rFonts w:ascii="Courier New" w:hAnsi="Courier New" w:cs="Courier New" w:hint="default"/>
      </w:rPr>
    </w:lvl>
    <w:lvl w:ilvl="2" w:tplc="04090005">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5">
    <w:nsid w:val="6A1328D1"/>
    <w:multiLevelType w:val="hybridMultilevel"/>
    <w:tmpl w:val="01B601EE"/>
    <w:lvl w:ilvl="0" w:tplc="F30A4E0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303E90"/>
    <w:multiLevelType w:val="hybridMultilevel"/>
    <w:tmpl w:val="5008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6B7316"/>
    <w:multiLevelType w:val="hybridMultilevel"/>
    <w:tmpl w:val="C0B20E46"/>
    <w:lvl w:ilvl="0" w:tplc="026AE9E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9"/>
  </w:num>
  <w:num w:numId="4">
    <w:abstractNumId w:val="0"/>
  </w:num>
  <w:num w:numId="5">
    <w:abstractNumId w:val="8"/>
  </w:num>
  <w:num w:numId="6">
    <w:abstractNumId w:val="1"/>
  </w:num>
  <w:num w:numId="7">
    <w:abstractNumId w:val="11"/>
  </w:num>
  <w:num w:numId="8">
    <w:abstractNumId w:val="14"/>
  </w:num>
  <w:num w:numId="9">
    <w:abstractNumId w:val="3"/>
  </w:num>
  <w:num w:numId="10">
    <w:abstractNumId w:val="12"/>
  </w:num>
  <w:num w:numId="11">
    <w:abstractNumId w:val="10"/>
  </w:num>
  <w:num w:numId="12">
    <w:abstractNumId w:val="16"/>
  </w:num>
  <w:num w:numId="13">
    <w:abstractNumId w:val="5"/>
  </w:num>
  <w:num w:numId="14">
    <w:abstractNumId w:val="17"/>
  </w:num>
  <w:num w:numId="15">
    <w:abstractNumId w:val="13"/>
  </w:num>
  <w:num w:numId="16">
    <w:abstractNumId w:val="2"/>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71379A"/>
    <w:rsid w:val="000A16A3"/>
    <w:rsid w:val="00347333"/>
    <w:rsid w:val="003C528C"/>
    <w:rsid w:val="00450713"/>
    <w:rsid w:val="004A1A56"/>
    <w:rsid w:val="00517425"/>
    <w:rsid w:val="005E4AF1"/>
    <w:rsid w:val="0071379A"/>
    <w:rsid w:val="007721A5"/>
    <w:rsid w:val="00B22F98"/>
    <w:rsid w:val="00C850F7"/>
    <w:rsid w:val="00CC556E"/>
    <w:rsid w:val="00CD6BE7"/>
    <w:rsid w:val="00D35BAA"/>
    <w:rsid w:val="00D867EE"/>
    <w:rsid w:val="00E353BE"/>
    <w:rsid w:val="00EF4EEB"/>
    <w:rsid w:val="00F17F88"/>
    <w:rsid w:val="00FC2C0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9A"/>
    <w:pPr>
      <w:ind w:left="720"/>
      <w:contextualSpacing/>
    </w:pPr>
  </w:style>
  <w:style w:type="table" w:styleId="TableGrid">
    <w:name w:val="Table Grid"/>
    <w:basedOn w:val="TableNormal"/>
    <w:uiPriority w:val="59"/>
    <w:rsid w:val="005E4A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CC556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C218-7E52-43CC-A5EB-5D5F5CA5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Scholtz</dc:creator>
  <cp:lastModifiedBy>Scholtz</cp:lastModifiedBy>
  <cp:revision>2</cp:revision>
  <dcterms:created xsi:type="dcterms:W3CDTF">2011-06-12T11:43:00Z</dcterms:created>
  <dcterms:modified xsi:type="dcterms:W3CDTF">2011-06-12T11:43:00Z</dcterms:modified>
</cp:coreProperties>
</file>